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DB" w:rsidRDefault="00F672DB" w:rsidP="00F672DB">
      <w:pPr>
        <w:tabs>
          <w:tab w:val="left" w:pos="10583"/>
        </w:tabs>
        <w:rPr>
          <w:sz w:val="28"/>
        </w:rPr>
      </w:pPr>
    </w:p>
    <w:p w:rsidR="00F672DB" w:rsidRPr="002B2EFE" w:rsidRDefault="00F672DB" w:rsidP="00F672DB">
      <w:pPr>
        <w:pStyle w:val="Heading2"/>
        <w:rPr>
          <w:rFonts w:ascii="Arial" w:hAnsi="Arial" w:cs="Arial"/>
          <w:b/>
          <w:sz w:val="24"/>
          <w:szCs w:val="24"/>
        </w:rPr>
      </w:pPr>
      <w:r w:rsidRPr="002B2EFE">
        <w:rPr>
          <w:rFonts w:ascii="Arial" w:hAnsi="Arial" w:cs="Arial"/>
          <w:b/>
          <w:sz w:val="24"/>
          <w:szCs w:val="24"/>
        </w:rPr>
        <w:t>Transaction and Code Set (TCS) Checklist</w:t>
      </w:r>
    </w:p>
    <w:p w:rsidR="00F672DB" w:rsidRDefault="00F672DB" w:rsidP="00F672DB"/>
    <w:p w:rsidR="00F672DB" w:rsidRPr="002B2EFE" w:rsidRDefault="00F672DB" w:rsidP="00F672DB"/>
    <w:p w:rsidR="00F672DB" w:rsidRPr="002B2EFE" w:rsidRDefault="00F672DB" w:rsidP="00F672DB">
      <w:pPr>
        <w:rPr>
          <w:rFonts w:ascii="Arial" w:hAnsi="Arial" w:cs="Arial"/>
        </w:rPr>
      </w:pPr>
    </w:p>
    <w:p w:rsidR="00F672DB" w:rsidRPr="007D29CF" w:rsidRDefault="00F672DB" w:rsidP="00F672D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7D29CF">
        <w:rPr>
          <w:rFonts w:ascii="Arial" w:hAnsi="Arial" w:cs="Arial"/>
          <w:color w:val="000000"/>
          <w:sz w:val="22"/>
          <w:szCs w:val="22"/>
        </w:rPr>
        <w:t xml:space="preserve">You must be compliant with the TCS provisions if you conduct electronic billing or other electronic transactions.  If you do not become compliant you may experience a cash flow problem. You must contact your clearinghouses and/or billing services and begin testing your transactions as soon as possible. 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>The following is a checklist that will help you in assessing your progress in becoming compliant with the Transaction and Code Sets provisions: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pStyle w:val="BodyText3"/>
        <w:numPr>
          <w:ilvl w:val="0"/>
          <w:numId w:val="1"/>
        </w:numPr>
        <w:jc w:val="left"/>
        <w:rPr>
          <w:rFonts w:ascii="Arial" w:hAnsi="Arial" w:cs="Arial"/>
          <w:b w:val="0"/>
          <w:szCs w:val="22"/>
        </w:rPr>
      </w:pPr>
      <w:r w:rsidRPr="007D29CF">
        <w:rPr>
          <w:rFonts w:ascii="Arial" w:hAnsi="Arial" w:cs="Arial"/>
          <w:b w:val="0"/>
          <w:szCs w:val="22"/>
        </w:rPr>
        <w:t>Contact your clearinghouse and find out what they require of you for testing of your electronic transactions.</w:t>
      </w:r>
    </w:p>
    <w:p w:rsidR="00F672DB" w:rsidRPr="007D29CF" w:rsidRDefault="00F672DB" w:rsidP="00F672DB">
      <w:pPr>
        <w:ind w:left="360"/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ind w:left="360"/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>Identify members of your internal testing team (those that conduct billing activities and practice management members) and make sure they are informed and involved.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>Speak to your external partners (software application vendors, clearinghouses, payers) about setting up testing activities. Establish and remain in good communications with them.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pStyle w:val="BodyText3"/>
        <w:numPr>
          <w:ilvl w:val="0"/>
          <w:numId w:val="1"/>
        </w:numPr>
        <w:jc w:val="left"/>
        <w:rPr>
          <w:rFonts w:ascii="Arial" w:hAnsi="Arial" w:cs="Arial"/>
          <w:b w:val="0"/>
          <w:szCs w:val="22"/>
        </w:rPr>
      </w:pPr>
      <w:r w:rsidRPr="007D29CF">
        <w:rPr>
          <w:rFonts w:ascii="Arial" w:hAnsi="Arial" w:cs="Arial"/>
          <w:b w:val="0"/>
          <w:szCs w:val="22"/>
        </w:rPr>
        <w:t>Work in close contact with your software applications vendor to make sure you are completely updated if necessary.</w:t>
      </w:r>
    </w:p>
    <w:p w:rsidR="00F672DB" w:rsidRPr="007D29CF" w:rsidRDefault="00F672DB" w:rsidP="00F672DB">
      <w:pPr>
        <w:pStyle w:val="BodyText3"/>
        <w:jc w:val="left"/>
        <w:rPr>
          <w:rFonts w:ascii="Arial" w:hAnsi="Arial" w:cs="Arial"/>
          <w:szCs w:val="22"/>
        </w:rPr>
      </w:pPr>
    </w:p>
    <w:p w:rsidR="00F672DB" w:rsidRPr="007D29CF" w:rsidRDefault="00F672DB" w:rsidP="00F672DB">
      <w:pPr>
        <w:pStyle w:val="BodyText3"/>
        <w:jc w:val="left"/>
        <w:rPr>
          <w:rFonts w:ascii="Arial" w:hAnsi="Arial" w:cs="Arial"/>
          <w:szCs w:val="22"/>
        </w:rPr>
      </w:pPr>
    </w:p>
    <w:p w:rsidR="00F672DB" w:rsidRPr="007D29CF" w:rsidRDefault="00F672DB" w:rsidP="00F672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>Be pro-active with your clearinghouse to ensure they are committed to you to resolve your testing problems.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>In your testing, develop a broad set of testing scenarios and cases.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 xml:space="preserve"> Make sure you have definite dates to conduct and finish your testing.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 xml:space="preserve">Document your testing progress.  Include successes and problems to be addressed.  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>If compliance is delayed, talk to your insurance companies that you bill about developing a contingency plan.</w:t>
      </w: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rPr>
          <w:rFonts w:ascii="Arial" w:hAnsi="Arial" w:cs="Arial"/>
          <w:sz w:val="22"/>
          <w:szCs w:val="22"/>
        </w:rPr>
      </w:pPr>
    </w:p>
    <w:p w:rsidR="00F672DB" w:rsidRPr="007D29CF" w:rsidRDefault="00F672DB" w:rsidP="00F672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29CF">
        <w:rPr>
          <w:rFonts w:ascii="Arial" w:hAnsi="Arial" w:cs="Arial"/>
          <w:sz w:val="22"/>
          <w:szCs w:val="22"/>
        </w:rPr>
        <w:t>Obtain companion guides from your payers (insurance companies).</w:t>
      </w:r>
    </w:p>
    <w:p w:rsidR="00F672DB" w:rsidRPr="002B2EFE" w:rsidRDefault="00F672DB" w:rsidP="00F672DB">
      <w:pPr>
        <w:pStyle w:val="BodyText"/>
        <w:rPr>
          <w:rFonts w:ascii="Arial" w:hAnsi="Arial" w:cs="Arial"/>
          <w:sz w:val="20"/>
        </w:rPr>
      </w:pPr>
    </w:p>
    <w:p w:rsidR="00F672DB" w:rsidRPr="002B2EFE" w:rsidRDefault="00F672DB" w:rsidP="00F672DB">
      <w:pPr>
        <w:pStyle w:val="BodyText"/>
        <w:rPr>
          <w:rFonts w:ascii="Arial" w:hAnsi="Arial" w:cs="Arial"/>
          <w:sz w:val="20"/>
        </w:rPr>
      </w:pPr>
    </w:p>
    <w:p w:rsidR="005975E5" w:rsidRDefault="005975E5">
      <w:bookmarkStart w:id="0" w:name="_GoBack"/>
      <w:bookmarkEnd w:id="0"/>
    </w:p>
    <w:sectPr w:rsidR="005975E5" w:rsidSect="003C6E7C">
      <w:headerReference w:type="even" r:id="rId6"/>
      <w:headerReference w:type="first" r:id="rId7"/>
      <w:pgSz w:w="12240" w:h="15840"/>
      <w:pgMar w:top="720" w:right="720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6A4" w:rsidRDefault="00F672DB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341501" o:spid="_x0000_s1026" type="#_x0000_t136" style="position:absolute;margin-left:0;margin-top:0;width:456.8pt;height:304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C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6A4" w:rsidRDefault="00F672DB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341500" o:spid="_x0000_s1025" type="#_x0000_t136" style="position:absolute;margin-left:0;margin-top:0;width:456.8pt;height:304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C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C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DB"/>
    <w:rsid w:val="005975E5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17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B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672DB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72D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672D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672DB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F672DB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F672DB"/>
    <w:rPr>
      <w:rFonts w:ascii="Times New Roman" w:eastAsia="Times New Roman" w:hAnsi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D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B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672DB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72D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672D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672DB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F672DB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F672DB"/>
    <w:rPr>
      <w:rFonts w:ascii="Times New Roman" w:eastAsia="Times New Roman" w:hAnsi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1353</Characters>
  <Application>Microsoft Macintosh Word</Application>
  <DocSecurity>0</DocSecurity>
  <Lines>61</Lines>
  <Paragraphs>14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2011-08-11T23:38:00Z</dcterms:created>
  <dcterms:modified xsi:type="dcterms:W3CDTF">2011-08-11T23:39:00Z</dcterms:modified>
</cp:coreProperties>
</file>